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130944" w14:textId="77777777" w:rsidR="00DC3EFC" w:rsidRPr="000F4B88" w:rsidRDefault="00DC3EFC" w:rsidP="00DC3EFC">
      <w:pPr>
        <w:spacing w:after="160" w:line="259" w:lineRule="auto"/>
        <w:jc w:val="both"/>
      </w:pPr>
      <w:bookmarkStart w:id="0" w:name="OLE_LINK1"/>
      <w:bookmarkStart w:id="1" w:name="_GoBack"/>
      <w:bookmarkEnd w:id="1"/>
    </w:p>
    <w:p w14:paraId="12C4ADDA" w14:textId="0BE2D846" w:rsidR="00187E73" w:rsidRPr="00202926" w:rsidRDefault="00187E73" w:rsidP="00187E73">
      <w:pPr>
        <w:spacing w:before="100" w:beforeAutospacing="1" w:after="100" w:afterAutospacing="1" w:line="280" w:lineRule="atLeast"/>
        <w:rPr>
          <w:rFonts w:ascii="Arial" w:hAnsi="Arial" w:cs="Arial"/>
          <w:b/>
        </w:rPr>
      </w:pPr>
      <w:r w:rsidRPr="00202926">
        <w:rPr>
          <w:rFonts w:ascii="Arial" w:hAnsi="Arial" w:cs="Arial"/>
          <w:b/>
        </w:rPr>
        <w:t xml:space="preserve">ATA DO CONSELHO </w:t>
      </w:r>
      <w:r w:rsidR="00926858" w:rsidRPr="00202926">
        <w:rPr>
          <w:rFonts w:ascii="Arial" w:hAnsi="Arial" w:cs="Arial"/>
          <w:b/>
        </w:rPr>
        <w:t>ADMINISTRATIVO</w:t>
      </w:r>
      <w:r w:rsidRPr="00202926">
        <w:rPr>
          <w:rFonts w:ascii="Arial" w:hAnsi="Arial" w:cs="Arial"/>
          <w:b/>
        </w:rPr>
        <w:t xml:space="preserve"> DO INSTITUTO DE PREVIDÊNCIA DOS SERVIDORES PÚBLICO DO MUNICÍPIO DE GUANHÃES</w:t>
      </w:r>
    </w:p>
    <w:p w14:paraId="1E4E4922" w14:textId="77777777" w:rsidR="00187E73" w:rsidRPr="00202926" w:rsidRDefault="00187E73" w:rsidP="00187E73">
      <w:pPr>
        <w:spacing w:before="100" w:beforeAutospacing="1" w:after="100" w:afterAutospacing="1" w:line="280" w:lineRule="atLeast"/>
        <w:rPr>
          <w:rFonts w:ascii="Arial" w:hAnsi="Arial" w:cs="Arial"/>
          <w:b/>
        </w:rPr>
      </w:pPr>
      <w:r w:rsidRPr="00202926">
        <w:rPr>
          <w:rFonts w:ascii="Arial" w:hAnsi="Arial" w:cs="Arial"/>
          <w:b/>
        </w:rPr>
        <w:t> </w:t>
      </w:r>
    </w:p>
    <w:p w14:paraId="3C585506" w14:textId="7C6BB133" w:rsidR="00187E73" w:rsidRPr="00202926" w:rsidRDefault="00187E73" w:rsidP="00187E73">
      <w:pPr>
        <w:spacing w:before="100" w:beforeAutospacing="1" w:after="100" w:afterAutospacing="1" w:line="280" w:lineRule="atLeast"/>
        <w:ind w:left="4248"/>
        <w:rPr>
          <w:rFonts w:ascii="Arial" w:hAnsi="Arial" w:cs="Arial"/>
        </w:rPr>
      </w:pPr>
      <w:r w:rsidRPr="00202926">
        <w:rPr>
          <w:rFonts w:ascii="Arial" w:hAnsi="Arial" w:cs="Arial"/>
        </w:rPr>
        <w:t xml:space="preserve">Dispõe sobre a </w:t>
      </w:r>
      <w:r w:rsidRPr="00202926">
        <w:rPr>
          <w:rFonts w:ascii="Arial" w:hAnsi="Arial" w:cs="Arial"/>
          <w:b/>
          <w:bCs/>
          <w:u w:val="single"/>
        </w:rPr>
        <w:t>DELIBERAÇÃO QUANTO A POLÍTICA DE INVESTIMENTOS PARA O EXERCÍCIO DE 2026</w:t>
      </w:r>
      <w:r w:rsidRPr="00202926">
        <w:rPr>
          <w:rFonts w:ascii="Arial" w:hAnsi="Arial" w:cs="Arial"/>
        </w:rPr>
        <w:t>.</w:t>
      </w:r>
    </w:p>
    <w:p w14:paraId="3110428B" w14:textId="77777777" w:rsidR="00DC3EFC" w:rsidRPr="00202926" w:rsidRDefault="00DC3EFC" w:rsidP="00DC3EFC">
      <w:pPr>
        <w:spacing w:after="160" w:line="259" w:lineRule="auto"/>
        <w:jc w:val="right"/>
        <w:rPr>
          <w:rFonts w:ascii="Arial" w:hAnsi="Arial" w:cs="Arial"/>
          <w:sz w:val="10"/>
          <w:szCs w:val="10"/>
        </w:rPr>
      </w:pPr>
    </w:p>
    <w:p w14:paraId="12235A89" w14:textId="74FA112D" w:rsidR="00A03D72" w:rsidRPr="00202926" w:rsidRDefault="00DC3EFC" w:rsidP="00DC3EFC">
      <w:pPr>
        <w:jc w:val="both"/>
        <w:rPr>
          <w:rFonts w:ascii="Arial" w:hAnsi="Arial" w:cs="Arial"/>
          <w:sz w:val="24"/>
          <w:szCs w:val="24"/>
        </w:rPr>
      </w:pPr>
      <w:r w:rsidRPr="00202926">
        <w:rPr>
          <w:rFonts w:ascii="Arial" w:hAnsi="Arial" w:cs="Arial"/>
        </w:rPr>
        <w:t xml:space="preserve">Aos oito (08) dias do mês de dezembro de dois mil e vinte e cinco, às </w:t>
      </w:r>
      <w:r w:rsidR="00CA0EF3" w:rsidRPr="00202926">
        <w:rPr>
          <w:rFonts w:ascii="Arial" w:hAnsi="Arial" w:cs="Arial"/>
        </w:rPr>
        <w:t>quinze</w:t>
      </w:r>
      <w:r w:rsidRPr="00202926">
        <w:rPr>
          <w:rFonts w:ascii="Arial" w:hAnsi="Arial" w:cs="Arial"/>
        </w:rPr>
        <w:t xml:space="preserve"> (</w:t>
      </w:r>
      <w:r w:rsidR="00187E73" w:rsidRPr="00202926">
        <w:rPr>
          <w:rFonts w:ascii="Arial" w:hAnsi="Arial" w:cs="Arial"/>
        </w:rPr>
        <w:t>15</w:t>
      </w:r>
      <w:r w:rsidRPr="00202926">
        <w:rPr>
          <w:rFonts w:ascii="Arial" w:hAnsi="Arial" w:cs="Arial"/>
        </w:rPr>
        <w:t xml:space="preserve">) horas, na sede do Instituto de Previdência dos Servidores Públicos do Município de Guanhães – GuanhãesPrev, situada na Rua Monsenhor Pinheiro, nº 101, Centro, Guanhães/MG, reuniu-se </w:t>
      </w:r>
      <w:r w:rsidR="00187E73" w:rsidRPr="00202926">
        <w:rPr>
          <w:rFonts w:ascii="Arial" w:hAnsi="Arial" w:cs="Arial"/>
        </w:rPr>
        <w:t>os membros do Conselho Deliberativo, Carla Maitê Patrocínio,</w:t>
      </w:r>
      <w:r w:rsidR="001E0DDD" w:rsidRPr="00202926">
        <w:rPr>
          <w:rFonts w:ascii="Arial" w:hAnsi="Arial" w:cs="Arial"/>
        </w:rPr>
        <w:t xml:space="preserve"> Elaine de Fátima Silva, </w:t>
      </w:r>
      <w:r w:rsidR="00187E73" w:rsidRPr="00202926">
        <w:rPr>
          <w:rFonts w:ascii="Arial" w:hAnsi="Arial" w:cs="Arial"/>
        </w:rPr>
        <w:t>Júnia Paula Soalheiro Menezes, Marcia Helena Pires Reis, Mariana da Silva Rosa, Robson Barbosa ,Wanessa Marina Pimenta e  Rejane Ferreira Guimarães Martins, em atendimento ao dispostos normativos e legais, para a deliberação sobre o assunto acima disposto como pauta principal da ordem do dia.</w:t>
      </w:r>
      <w:r w:rsidR="00B73883" w:rsidRPr="00202926">
        <w:rPr>
          <w:rFonts w:ascii="Arial" w:hAnsi="Arial" w:cs="Arial"/>
        </w:rPr>
        <w:t xml:space="preserve"> Ausente a Conselheira Ana Paula Oliveira por motivo justificado.</w:t>
      </w:r>
      <w:r w:rsidR="00187E73" w:rsidRPr="00202926">
        <w:rPr>
          <w:rFonts w:ascii="Arial" w:hAnsi="Arial" w:cs="Arial"/>
        </w:rPr>
        <w:t xml:space="preserve"> Estava presente via chamada de </w:t>
      </w:r>
      <w:r w:rsidR="00F65A2C" w:rsidRPr="00202926">
        <w:rPr>
          <w:rFonts w:ascii="Arial" w:hAnsi="Arial" w:cs="Arial"/>
        </w:rPr>
        <w:t>vídeo</w:t>
      </w:r>
      <w:r w:rsidR="00187E73" w:rsidRPr="00202926">
        <w:rPr>
          <w:rFonts w:ascii="Arial" w:hAnsi="Arial" w:cs="Arial"/>
        </w:rPr>
        <w:t xml:space="preserve"> Rodolfo </w:t>
      </w:r>
      <w:proofErr w:type="spellStart"/>
      <w:r w:rsidR="00187E73" w:rsidRPr="00202926">
        <w:rPr>
          <w:rFonts w:ascii="Arial" w:hAnsi="Arial" w:cs="Arial"/>
        </w:rPr>
        <w:t>Malafaia</w:t>
      </w:r>
      <w:proofErr w:type="spellEnd"/>
      <w:r w:rsidR="00187E73" w:rsidRPr="00202926">
        <w:rPr>
          <w:rFonts w:ascii="Arial" w:hAnsi="Arial" w:cs="Arial"/>
        </w:rPr>
        <w:t xml:space="preserve"> da empresa Lema consultoria, o qual procedeu como a apresentação abordando todos os pontos da </w:t>
      </w:r>
      <w:r w:rsidR="00CA0EF3" w:rsidRPr="00202926">
        <w:rPr>
          <w:rFonts w:ascii="Arial" w:hAnsi="Arial" w:cs="Arial"/>
        </w:rPr>
        <w:t>política</w:t>
      </w:r>
      <w:r w:rsidR="00187E73" w:rsidRPr="00202926">
        <w:rPr>
          <w:rFonts w:ascii="Arial" w:hAnsi="Arial" w:cs="Arial"/>
        </w:rPr>
        <w:t xml:space="preserve">. </w:t>
      </w:r>
      <w:r w:rsidR="00CA0EF3" w:rsidRPr="00202926">
        <w:rPr>
          <w:rFonts w:ascii="Arial" w:hAnsi="Arial" w:cs="Arial"/>
        </w:rPr>
        <w:t xml:space="preserve">A presidente do Conselho Sra. Marcia </w:t>
      </w:r>
      <w:r w:rsidRPr="00202926">
        <w:rPr>
          <w:rFonts w:ascii="Arial" w:hAnsi="Arial" w:cs="Arial"/>
        </w:rPr>
        <w:t xml:space="preserve">abriu a reunião informando que a pauta principal consistia na análise e deliberação da </w:t>
      </w:r>
      <w:r w:rsidRPr="00202926">
        <w:rPr>
          <w:rFonts w:ascii="Arial" w:hAnsi="Arial" w:cs="Arial"/>
          <w:b/>
          <w:bCs/>
        </w:rPr>
        <w:t>Política de Investimentos para o exercício de 2026</w:t>
      </w:r>
      <w:r w:rsidR="00CA0EF3" w:rsidRPr="00202926">
        <w:rPr>
          <w:rFonts w:ascii="Arial" w:hAnsi="Arial" w:cs="Arial"/>
        </w:rPr>
        <w:t>. A</w:t>
      </w:r>
      <w:r w:rsidR="00A5685A" w:rsidRPr="00202926">
        <w:rPr>
          <w:rFonts w:ascii="Arial" w:hAnsi="Arial" w:cs="Arial"/>
        </w:rPr>
        <w:t xml:space="preserve">pós elaboração e deliberações do Comitê de Investimentos na política, sua </w:t>
      </w:r>
      <w:r w:rsidRPr="00202926">
        <w:rPr>
          <w:rFonts w:ascii="Arial" w:hAnsi="Arial" w:cs="Arial"/>
        </w:rPr>
        <w:t xml:space="preserve">minuta </w:t>
      </w:r>
      <w:r w:rsidR="00CA0EF3" w:rsidRPr="00202926">
        <w:rPr>
          <w:rFonts w:ascii="Arial" w:hAnsi="Arial" w:cs="Arial"/>
        </w:rPr>
        <w:t>foi</w:t>
      </w:r>
      <w:r w:rsidR="00B73883" w:rsidRPr="00202926">
        <w:rPr>
          <w:rFonts w:ascii="Arial" w:hAnsi="Arial" w:cs="Arial"/>
        </w:rPr>
        <w:t xml:space="preserve"> disponibilizada pela gestora de recursos e</w:t>
      </w:r>
      <w:r w:rsidRPr="00202926">
        <w:rPr>
          <w:rFonts w:ascii="Arial" w:hAnsi="Arial" w:cs="Arial"/>
        </w:rPr>
        <w:t xml:space="preserve"> encaminh</w:t>
      </w:r>
      <w:r w:rsidR="00CA0EF3" w:rsidRPr="00202926">
        <w:rPr>
          <w:rFonts w:ascii="Arial" w:hAnsi="Arial" w:cs="Arial"/>
        </w:rPr>
        <w:t xml:space="preserve">ada previamente </w:t>
      </w:r>
      <w:r w:rsidRPr="00202926">
        <w:rPr>
          <w:rFonts w:ascii="Arial" w:hAnsi="Arial" w:cs="Arial"/>
        </w:rPr>
        <w:t>aos membros</w:t>
      </w:r>
      <w:r w:rsidR="00CA0EF3" w:rsidRPr="00202926">
        <w:rPr>
          <w:rFonts w:ascii="Arial" w:hAnsi="Arial" w:cs="Arial"/>
        </w:rPr>
        <w:t xml:space="preserve"> do conselho para analise e</w:t>
      </w:r>
      <w:r w:rsidRPr="00202926">
        <w:rPr>
          <w:rFonts w:ascii="Arial" w:hAnsi="Arial" w:cs="Arial"/>
        </w:rPr>
        <w:t xml:space="preserve"> suas considerações para subsidiar o estudo do colegiado. Em seguida</w:t>
      </w:r>
      <w:r w:rsidR="00A5685A" w:rsidRPr="00202926">
        <w:rPr>
          <w:rFonts w:ascii="Arial" w:hAnsi="Arial" w:cs="Arial"/>
        </w:rPr>
        <w:t xml:space="preserve"> a presidente do conselho </w:t>
      </w:r>
      <w:r w:rsidRPr="00202926">
        <w:rPr>
          <w:rFonts w:ascii="Arial" w:hAnsi="Arial" w:cs="Arial"/>
        </w:rPr>
        <w:t>concedeu a palavra ao consultor Rodolpho Malafaia, que apresentou o cenário econômico projetado para 2026, tratando das perspectivas de inflação, taxa Selic, impactos do ano eleitoral, volatilidade esperada dos mercados e suas implicações para o RPPS. Explicou os fundamentos técnicos da alocação estratégica sugerida, os limites regulatórios e a estrutura da Política</w:t>
      </w:r>
      <w:r w:rsidR="00F65A2C" w:rsidRPr="00202926">
        <w:rPr>
          <w:rFonts w:ascii="Arial" w:hAnsi="Arial" w:cs="Arial"/>
        </w:rPr>
        <w:t xml:space="preserve"> de Investimentos.</w:t>
      </w:r>
      <w:r w:rsidR="00B73883" w:rsidRPr="00202926">
        <w:rPr>
          <w:rFonts w:ascii="Arial" w:hAnsi="Arial" w:cs="Arial"/>
        </w:rPr>
        <w:t xml:space="preserve"> </w:t>
      </w:r>
      <w:r w:rsidRPr="00202926">
        <w:rPr>
          <w:rFonts w:ascii="Arial" w:hAnsi="Arial" w:cs="Arial"/>
        </w:rPr>
        <w:t>Destacou que a estratégia</w:t>
      </w:r>
      <w:r w:rsidR="00A5685A" w:rsidRPr="00202926">
        <w:rPr>
          <w:rFonts w:ascii="Arial" w:hAnsi="Arial" w:cs="Arial"/>
        </w:rPr>
        <w:t xml:space="preserve"> para alocações</w:t>
      </w:r>
      <w:r w:rsidRPr="00202926">
        <w:rPr>
          <w:rFonts w:ascii="Arial" w:hAnsi="Arial" w:cs="Arial"/>
        </w:rPr>
        <w:t xml:space="preserve"> deve ser compatível com o perfil conservador do GuanhãesPrev e com o cenário financeiro marcado por déficit e elevada necessidade de liquidez. Rodolpho reforçou que o estudo de ALM realizado no ano embasa tecnicamente a Política, alinhando ativo e passivo, e que a aprovação do Pró-Gestão Nível III atribui maior responsabilidade à governança do Instituto. Informou que a expectativa de mercado compilada pelo Banco Central projeta para 2026 </w:t>
      </w:r>
      <w:r w:rsidRPr="00202926">
        <w:rPr>
          <w:rFonts w:ascii="Arial" w:hAnsi="Arial" w:cs="Arial"/>
          <w:b/>
        </w:rPr>
        <w:t>inflação de 4,20% e Selic média de aproximadamente 12,25%</w:t>
      </w:r>
      <w:r w:rsidRPr="00202926">
        <w:rPr>
          <w:rFonts w:ascii="Arial" w:hAnsi="Arial" w:cs="Arial"/>
        </w:rPr>
        <w:t xml:space="preserve">, sendo que a </w:t>
      </w:r>
      <w:r w:rsidRPr="00202926">
        <w:rPr>
          <w:rFonts w:ascii="Arial" w:hAnsi="Arial" w:cs="Arial"/>
          <w:b/>
          <w:bCs/>
        </w:rPr>
        <w:t>meta atuarial para 2026 é IPCA + 5,63%</w:t>
      </w:r>
      <w:r w:rsidRPr="00202926">
        <w:rPr>
          <w:rFonts w:ascii="Arial" w:hAnsi="Arial" w:cs="Arial"/>
        </w:rPr>
        <w:t xml:space="preserve">, resultante da duração do passivo (15,64 anos) e do acréscimo previsto após o cumprimento da meta em 2023. Ressaltou que o percentual nominal aproximado de </w:t>
      </w:r>
      <w:r w:rsidRPr="00202926">
        <w:rPr>
          <w:rFonts w:ascii="Arial" w:hAnsi="Arial" w:cs="Arial"/>
          <w:b/>
        </w:rPr>
        <w:t>10,07%</w:t>
      </w:r>
      <w:r w:rsidRPr="00202926">
        <w:rPr>
          <w:rFonts w:ascii="Arial" w:hAnsi="Arial" w:cs="Arial"/>
        </w:rPr>
        <w:t xml:space="preserve"> decorre da capitalização composta e não deve ser utilizado isoladamente como referência, devendo a meta ser expressa corretamente como “IPCA + </w:t>
      </w:r>
      <w:r w:rsidRPr="00202926">
        <w:rPr>
          <w:rFonts w:ascii="Arial" w:hAnsi="Arial" w:cs="Arial"/>
        </w:rPr>
        <w:lastRenderedPageBreak/>
        <w:t>5,63%”. Durante a apresentação, explicou-se a previsão de realocação do segmento BDR Nível I para o Art. 8º da Resolução, as características dos multimercados conservadores, a distinção entre fundos multimercado e estruturados, e que o Instituto não pretende utilizar FIPs ou ativos incompatíveis com o perfil do RPPS.</w:t>
      </w:r>
      <w:r w:rsidR="00A5685A" w:rsidRPr="00202926">
        <w:rPr>
          <w:rFonts w:ascii="Arial" w:hAnsi="Arial" w:cs="Arial"/>
        </w:rPr>
        <w:t xml:space="preserve"> A conselheira Júnia questionou</w:t>
      </w:r>
      <w:r w:rsidR="008455F6" w:rsidRPr="00202926">
        <w:rPr>
          <w:rFonts w:ascii="Arial" w:hAnsi="Arial" w:cs="Arial"/>
        </w:rPr>
        <w:t xml:space="preserve"> a segurança dos fundos multimercado e</w:t>
      </w:r>
      <w:r w:rsidR="00A5685A" w:rsidRPr="00202926">
        <w:rPr>
          <w:rFonts w:ascii="Arial" w:hAnsi="Arial" w:cs="Arial"/>
        </w:rPr>
        <w:t xml:space="preserve"> o </w:t>
      </w:r>
      <w:proofErr w:type="spellStart"/>
      <w:r w:rsidR="00A5685A" w:rsidRPr="00202926">
        <w:rPr>
          <w:rFonts w:ascii="Arial" w:hAnsi="Arial" w:cs="Arial"/>
        </w:rPr>
        <w:t>porque</w:t>
      </w:r>
      <w:proofErr w:type="spellEnd"/>
      <w:r w:rsidR="00A5685A" w:rsidRPr="00202926">
        <w:rPr>
          <w:rFonts w:ascii="Arial" w:hAnsi="Arial" w:cs="Arial"/>
        </w:rPr>
        <w:t xml:space="preserve"> de 1% em BDR, e o consultor </w:t>
      </w:r>
      <w:r w:rsidR="008455F6" w:rsidRPr="00202926">
        <w:rPr>
          <w:rFonts w:ascii="Arial" w:hAnsi="Arial" w:cs="Arial"/>
        </w:rPr>
        <w:t xml:space="preserve">esclareceu que embora sejam </w:t>
      </w:r>
      <w:r w:rsidR="0040174A" w:rsidRPr="00202926">
        <w:rPr>
          <w:rFonts w:ascii="Arial" w:hAnsi="Arial" w:cs="Arial"/>
        </w:rPr>
        <w:t>“</w:t>
      </w:r>
      <w:r w:rsidR="008455F6" w:rsidRPr="00202926">
        <w:rPr>
          <w:rFonts w:ascii="Arial" w:hAnsi="Arial" w:cs="Arial"/>
        </w:rPr>
        <w:t>estruturados</w:t>
      </w:r>
      <w:r w:rsidR="0040174A" w:rsidRPr="00202926">
        <w:rPr>
          <w:rFonts w:ascii="Arial" w:hAnsi="Arial" w:cs="Arial"/>
        </w:rPr>
        <w:t>”</w:t>
      </w:r>
      <w:r w:rsidR="008455F6" w:rsidRPr="00202926">
        <w:rPr>
          <w:rFonts w:ascii="Arial" w:hAnsi="Arial" w:cs="Arial"/>
        </w:rPr>
        <w:t xml:space="preserve"> juridicamente</w:t>
      </w:r>
      <w:r w:rsidR="0040174A" w:rsidRPr="00202926">
        <w:rPr>
          <w:rFonts w:ascii="Arial" w:hAnsi="Arial" w:cs="Arial"/>
        </w:rPr>
        <w:t xml:space="preserve">, os fundos selecionados para o RPPS possuem foco em liquidez e proteção, citando o histórico positivo de rentabilidade do </w:t>
      </w:r>
      <w:proofErr w:type="spellStart"/>
      <w:r w:rsidR="0040174A" w:rsidRPr="00202926">
        <w:rPr>
          <w:rFonts w:ascii="Arial" w:hAnsi="Arial" w:cs="Arial"/>
        </w:rPr>
        <w:t>Instituti</w:t>
      </w:r>
      <w:proofErr w:type="spellEnd"/>
      <w:r w:rsidR="0040174A" w:rsidRPr="00202926">
        <w:rPr>
          <w:rFonts w:ascii="Arial" w:hAnsi="Arial" w:cs="Arial"/>
        </w:rPr>
        <w:t xml:space="preserve"> entre 2022 e 2025, e</w:t>
      </w:r>
      <w:r w:rsidR="008455F6" w:rsidRPr="00202926">
        <w:rPr>
          <w:rFonts w:ascii="Arial" w:hAnsi="Arial" w:cs="Arial"/>
        </w:rPr>
        <w:t xml:space="preserve"> </w:t>
      </w:r>
      <w:r w:rsidR="00A32659" w:rsidRPr="00202926">
        <w:rPr>
          <w:rFonts w:ascii="Arial" w:hAnsi="Arial" w:cs="Arial"/>
        </w:rPr>
        <w:t xml:space="preserve">que </w:t>
      </w:r>
      <w:proofErr w:type="spellStart"/>
      <w:r w:rsidR="00A32659" w:rsidRPr="00202926">
        <w:rPr>
          <w:rFonts w:ascii="Arial" w:hAnsi="Arial" w:cs="Arial"/>
        </w:rPr>
        <w:t>esta</w:t>
      </w:r>
      <w:proofErr w:type="spellEnd"/>
      <w:r w:rsidR="00A32659" w:rsidRPr="00202926">
        <w:rPr>
          <w:rFonts w:ascii="Arial" w:hAnsi="Arial" w:cs="Arial"/>
        </w:rPr>
        <w:t xml:space="preserve"> na estratégia dando como exemplo que caso despenque a bolsa no Brasil se tem a alternativa no exterior, e esse 1% pode chegar a 10 e só será utilizado caso a bolsa nacional fique baixa como por exemplo no período crítico da covid-19. Rodolfo reforçou ainda</w:t>
      </w:r>
      <w:r w:rsidRPr="00202926">
        <w:rPr>
          <w:rFonts w:ascii="Arial" w:hAnsi="Arial" w:cs="Arial"/>
        </w:rPr>
        <w:t xml:space="preserve"> que qualquer movimentação dependerá de análise técnica e parecer da consultoria. Destacou-se que alguns segmentos possuem percentuais apenas permissivos, não obrigando alocação imediata, mas permitindo aproveitar oportunidades de mercado.</w:t>
      </w:r>
      <w:r w:rsidR="00A8708E" w:rsidRPr="00202926">
        <w:rPr>
          <w:rFonts w:ascii="Arial" w:hAnsi="Arial" w:cs="Arial"/>
          <w:shd w:val="clear" w:color="auto" w:fill="FFFFFF"/>
        </w:rPr>
        <w:t xml:space="preserve"> F</w:t>
      </w:r>
      <w:r w:rsidR="00A8708E" w:rsidRPr="00202926">
        <w:rPr>
          <w:rFonts w:ascii="Arial" w:hAnsi="Arial" w:cs="Arial"/>
          <w:shd w:val="clear" w:color="auto" w:fill="FFFFFF"/>
        </w:rPr>
        <w:t>oi alertado que uma nova resolução do Conselho Monetário Nacional (CMN) é esperada para o início de 2026, o que poderá exigir uma revisão da política aprovada hoje para fins de reenquadramento legal.</w:t>
      </w:r>
      <w:r w:rsidRPr="00202926">
        <w:rPr>
          <w:rFonts w:ascii="Arial" w:hAnsi="Arial" w:cs="Arial"/>
        </w:rPr>
        <w:t xml:space="preserve"> Ressaltou-se a necessidade de manutenção do credenciamento das instituições financeiras e a importância do monitoramento contínuo dos riscos previstos na Portaria nº 1.467, incluindo risco de crédito, liquidez, solvência, risco sistêmico e o plano de contingência descrito na Política.</w:t>
      </w:r>
      <w:r w:rsidR="00A32659" w:rsidRPr="00202926">
        <w:rPr>
          <w:rFonts w:ascii="Arial" w:hAnsi="Arial" w:cs="Arial"/>
        </w:rPr>
        <w:t xml:space="preserve"> Na sequência a Diretora Presidente do Instituto com a palavra questionou aos membros do conselho quanto ao percentual para empréstimo consignado, se matem o alvo de 1%, e por unanimidade dos conselheiros presentes foi mantida. </w:t>
      </w:r>
      <w:r w:rsidR="00A03D72" w:rsidRPr="00202926">
        <w:rPr>
          <w:rFonts w:ascii="Arial" w:hAnsi="Arial" w:cs="Arial"/>
        </w:rPr>
        <w:t xml:space="preserve">Após </w:t>
      </w:r>
      <w:r w:rsidR="00A03D72" w:rsidRPr="00202926">
        <w:rPr>
          <w:rFonts w:ascii="Arial" w:hAnsi="Arial" w:cs="Arial"/>
        </w:rPr>
        <w:t>a</w:t>
      </w:r>
      <w:r w:rsidR="00A03D72" w:rsidRPr="00202926">
        <w:rPr>
          <w:rFonts w:ascii="Arial" w:hAnsi="Arial" w:cs="Arial"/>
        </w:rPr>
        <w:t xml:space="preserve"> conclusão</w:t>
      </w:r>
      <w:r w:rsidR="00A03D72" w:rsidRPr="00202926">
        <w:rPr>
          <w:rFonts w:ascii="Arial" w:hAnsi="Arial" w:cs="Arial"/>
        </w:rPr>
        <w:t xml:space="preserve"> da apresentação pelo consultor</w:t>
      </w:r>
      <w:r w:rsidR="00A03D72" w:rsidRPr="00202926">
        <w:rPr>
          <w:rFonts w:ascii="Arial" w:hAnsi="Arial" w:cs="Arial"/>
        </w:rPr>
        <w:t>, o mesmo devolveu a palavra para a Presidente do Conselho Deliberativo, onde abriu o espaço de tempo para esclarecimentos dos membros do colegiado sobre a proposta da Política de Investimentos apresentada pelo Comitê de Investimentos. Fechado o período das discussões, fica deliberado pela: Aprovação da Política de Investimentos para o exercício de 202</w:t>
      </w:r>
      <w:r w:rsidR="00A03D72" w:rsidRPr="00202926">
        <w:rPr>
          <w:rFonts w:ascii="Arial" w:hAnsi="Arial" w:cs="Arial"/>
        </w:rPr>
        <w:t>6</w:t>
      </w:r>
      <w:r w:rsidR="00A03D72" w:rsidRPr="00202926">
        <w:rPr>
          <w:rFonts w:ascii="Arial" w:hAnsi="Arial" w:cs="Arial"/>
        </w:rPr>
        <w:t xml:space="preserve"> proposta pelo Comitê de Investimentos, após a exposição dos membros do colegiado e suas considerações, todos presentes concordaram por unanimidade com todos seus dispositivos e a</w:t>
      </w:r>
      <w:r w:rsidR="00A03D72" w:rsidRPr="00202926">
        <w:rPr>
          <w:rFonts w:ascii="Arial" w:hAnsi="Arial" w:cs="Arial"/>
        </w:rPr>
        <w:t>provaram conforme quadro</w:t>
      </w:r>
      <w:r w:rsidRPr="00202926">
        <w:rPr>
          <w:rFonts w:ascii="Arial" w:hAnsi="Arial" w:cs="Arial"/>
        </w:rPr>
        <w:t xml:space="preserve"> descrito abaixo:</w:t>
      </w:r>
      <w:r w:rsidR="00A03D72" w:rsidRPr="00202926">
        <w:rPr>
          <w:rFonts w:ascii="Arial" w:hAnsi="Arial" w:cs="Arial"/>
        </w:rPr>
        <w:t xml:space="preserve">                                                         </w:t>
      </w:r>
      <w:r w:rsidR="00A03D72" w:rsidRPr="00202926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</w:t>
      </w:r>
    </w:p>
    <w:p w14:paraId="3C5A74F5" w14:textId="6F394986" w:rsidR="00A03D72" w:rsidRPr="00926858" w:rsidRDefault="00A03D72" w:rsidP="00A03D72">
      <w:pPr>
        <w:jc w:val="center"/>
        <w:rPr>
          <w:rFonts w:ascii="Arial" w:hAnsi="Arial" w:cs="Arial"/>
          <w:b/>
          <w:sz w:val="24"/>
          <w:szCs w:val="24"/>
        </w:rPr>
      </w:pPr>
      <w:r w:rsidRPr="00926858">
        <w:rPr>
          <w:rFonts w:ascii="Arial" w:hAnsi="Arial" w:cs="Arial"/>
          <w:b/>
          <w:color w:val="002060"/>
          <w:sz w:val="24"/>
          <w:szCs w:val="24"/>
        </w:rPr>
        <w:t>ALOCAÇÃO ESTRATÉGICA PARA O EXERCICIO DE 2026</w:t>
      </w:r>
    </w:p>
    <w:tbl>
      <w:tblPr>
        <w:tblW w:w="10390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"/>
        <w:gridCol w:w="3286"/>
        <w:gridCol w:w="1199"/>
        <w:gridCol w:w="1000"/>
        <w:gridCol w:w="734"/>
        <w:gridCol w:w="1026"/>
        <w:gridCol w:w="1163"/>
        <w:gridCol w:w="1075"/>
      </w:tblGrid>
      <w:tr w:rsidR="00DC3EFC" w14:paraId="1F9342AF" w14:textId="77777777" w:rsidTr="00E435CB">
        <w:trPr>
          <w:trHeight w:val="503"/>
          <w:jc w:val="center"/>
        </w:trPr>
        <w:tc>
          <w:tcPr>
            <w:tcW w:w="907" w:type="dxa"/>
            <w:tcBorders>
              <w:bottom w:val="single" w:sz="4" w:space="0" w:color="FFFFFF"/>
            </w:tcBorders>
            <w:vAlign w:val="center"/>
          </w:tcPr>
          <w:p w14:paraId="3E3DE50B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F31F4"/>
                <w:sz w:val="24"/>
                <w:szCs w:val="24"/>
                <w:lang w:eastAsia="pt-BR"/>
              </w:rPr>
            </w:pPr>
          </w:p>
          <w:p w14:paraId="6788A66B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F31F4"/>
                <w:sz w:val="24"/>
                <w:szCs w:val="24"/>
                <w:lang w:eastAsia="pt-BR"/>
              </w:rPr>
            </w:pPr>
          </w:p>
        </w:tc>
        <w:tc>
          <w:tcPr>
            <w:tcW w:w="3286" w:type="dxa"/>
            <w:vAlign w:val="center"/>
          </w:tcPr>
          <w:p w14:paraId="182626AF" w14:textId="77777777" w:rsidR="00A03D72" w:rsidRDefault="00A03D72" w:rsidP="00A03D72">
            <w:pPr>
              <w:spacing w:after="0" w:line="240" w:lineRule="auto"/>
              <w:rPr>
                <w:rFonts w:eastAsia="Times New Roman" w:cstheme="minorHAnsi"/>
                <w:color w:val="0F31F4"/>
                <w:sz w:val="20"/>
                <w:szCs w:val="20"/>
                <w:lang w:eastAsia="pt-BR"/>
              </w:rPr>
            </w:pPr>
          </w:p>
          <w:p w14:paraId="00654565" w14:textId="77777777" w:rsidR="00A03D72" w:rsidRDefault="00A03D72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F31F4"/>
                <w:sz w:val="20"/>
                <w:szCs w:val="20"/>
                <w:lang w:eastAsia="pt-BR"/>
              </w:rPr>
            </w:pPr>
          </w:p>
        </w:tc>
        <w:tc>
          <w:tcPr>
            <w:tcW w:w="1199" w:type="dxa"/>
            <w:vAlign w:val="center"/>
          </w:tcPr>
          <w:p w14:paraId="4823E41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F31F4"/>
                <w:sz w:val="20"/>
                <w:szCs w:val="20"/>
                <w:lang w:eastAsia="pt-BR"/>
              </w:rPr>
            </w:pPr>
          </w:p>
        </w:tc>
        <w:tc>
          <w:tcPr>
            <w:tcW w:w="1000" w:type="dxa"/>
            <w:vAlign w:val="center"/>
          </w:tcPr>
          <w:p w14:paraId="23F2539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F31F4"/>
                <w:sz w:val="20"/>
                <w:szCs w:val="20"/>
                <w:lang w:eastAsia="pt-BR"/>
              </w:rPr>
            </w:pPr>
          </w:p>
        </w:tc>
        <w:tc>
          <w:tcPr>
            <w:tcW w:w="734" w:type="dxa"/>
            <w:vAlign w:val="center"/>
          </w:tcPr>
          <w:p w14:paraId="227DE58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F31F4"/>
                <w:sz w:val="20"/>
                <w:szCs w:val="20"/>
                <w:lang w:eastAsia="pt-BR"/>
              </w:rPr>
            </w:pPr>
          </w:p>
        </w:tc>
        <w:tc>
          <w:tcPr>
            <w:tcW w:w="3264" w:type="dxa"/>
            <w:gridSpan w:val="3"/>
            <w:vAlign w:val="center"/>
          </w:tcPr>
          <w:p w14:paraId="52DA664C" w14:textId="06316FDD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</w:p>
        </w:tc>
      </w:tr>
      <w:tr w:rsidR="00DC3EFC" w14:paraId="0C754691" w14:textId="77777777" w:rsidTr="00E435CB">
        <w:trPr>
          <w:trHeight w:val="422"/>
          <w:jc w:val="center"/>
        </w:trPr>
        <w:tc>
          <w:tcPr>
            <w:tcW w:w="907" w:type="dxa"/>
            <w:tcBorders>
              <w:top w:val="single" w:sz="4" w:space="0" w:color="FFFFFF"/>
              <w:bottom w:val="single" w:sz="4" w:space="0" w:color="000000"/>
            </w:tcBorders>
            <w:vAlign w:val="center"/>
          </w:tcPr>
          <w:p w14:paraId="6F71FB9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Segmento</w:t>
            </w:r>
          </w:p>
        </w:tc>
        <w:tc>
          <w:tcPr>
            <w:tcW w:w="3286" w:type="dxa"/>
            <w:tcBorders>
              <w:bottom w:val="single" w:sz="4" w:space="0" w:color="000000"/>
            </w:tcBorders>
            <w:vAlign w:val="center"/>
          </w:tcPr>
          <w:p w14:paraId="02CD4BF7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Tipo de Ativo</w:t>
            </w:r>
          </w:p>
        </w:tc>
        <w:tc>
          <w:tcPr>
            <w:tcW w:w="1199" w:type="dxa"/>
            <w:tcBorders>
              <w:bottom w:val="single" w:sz="4" w:space="0" w:color="000000"/>
            </w:tcBorders>
            <w:vAlign w:val="center"/>
          </w:tcPr>
          <w:p w14:paraId="18E7E52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Carteira Atual (R$)</w:t>
            </w:r>
          </w:p>
        </w:tc>
        <w:tc>
          <w:tcPr>
            <w:tcW w:w="1000" w:type="dxa"/>
            <w:tcBorders>
              <w:bottom w:val="single" w:sz="4" w:space="0" w:color="000000"/>
            </w:tcBorders>
            <w:vAlign w:val="center"/>
          </w:tcPr>
          <w:p w14:paraId="134DBE6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Carteira Atual (%)</w:t>
            </w:r>
          </w:p>
        </w:tc>
        <w:tc>
          <w:tcPr>
            <w:tcW w:w="734" w:type="dxa"/>
            <w:tcBorders>
              <w:bottom w:val="single" w:sz="4" w:space="0" w:color="000000"/>
            </w:tcBorders>
            <w:vAlign w:val="center"/>
          </w:tcPr>
          <w:p w14:paraId="288EC56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Limite Resolução 4.963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vAlign w:val="center"/>
          </w:tcPr>
          <w:p w14:paraId="08387CB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Limite Inferior (%)</w:t>
            </w:r>
          </w:p>
        </w:tc>
        <w:tc>
          <w:tcPr>
            <w:tcW w:w="1163" w:type="dxa"/>
            <w:tcBorders>
              <w:bottom w:val="single" w:sz="4" w:space="0" w:color="000000"/>
            </w:tcBorders>
            <w:vAlign w:val="center"/>
          </w:tcPr>
          <w:p w14:paraId="7A14CF4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Estratégia Alvo (%)</w:t>
            </w:r>
          </w:p>
        </w:tc>
        <w:tc>
          <w:tcPr>
            <w:tcW w:w="1074" w:type="dxa"/>
            <w:tcBorders>
              <w:bottom w:val="single" w:sz="4" w:space="0" w:color="000000"/>
            </w:tcBorders>
            <w:vAlign w:val="center"/>
          </w:tcPr>
          <w:p w14:paraId="0B6067A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Limite Superior (%)</w:t>
            </w:r>
          </w:p>
        </w:tc>
      </w:tr>
      <w:tr w:rsidR="00DC3EFC" w14:paraId="7BA4ABC6" w14:textId="77777777" w:rsidTr="00E435CB">
        <w:trPr>
          <w:trHeight w:val="271"/>
          <w:jc w:val="center"/>
        </w:trPr>
        <w:tc>
          <w:tcPr>
            <w:tcW w:w="90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0A20D47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  <w:t>Renda Fixa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2832A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Títulos Tesouro Nacional – SELIC - Art. 7º, I, “a”.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E97C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5.601.377,97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0BB7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12,19%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3365148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7D17DB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AD1E82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1C3B28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50,00%</w:t>
            </w:r>
          </w:p>
        </w:tc>
      </w:tr>
      <w:tr w:rsidR="00DC3EFC" w14:paraId="1C4F78E1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775EB6C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5CC47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Renda Fixa Referenciado 100% títulos TN - Art. 7º, I, "b"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A824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17.119.867,66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3D5E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37,26%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4460B92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DAD0C8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2C56ED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40,00%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B399D2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90,00%</w:t>
            </w:r>
          </w:p>
        </w:tc>
      </w:tr>
      <w:tr w:rsidR="00DC3EFC" w14:paraId="25406547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2FDD1CB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27AAE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em Índices de Renda Fixa 100% títulos TN - Art. 7º, I, "c"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950E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0C89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180D191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9872F1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2273D2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66113C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0,00%</w:t>
            </w:r>
          </w:p>
        </w:tc>
      </w:tr>
      <w:tr w:rsidR="00DC3EFC" w14:paraId="412460B2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327A202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1077D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Operações Compromissadas - Art. 7º, II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F8EF2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C3DA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54D530D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1BE87E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570C22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1D4F0B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0,00%</w:t>
            </w:r>
          </w:p>
        </w:tc>
      </w:tr>
      <w:tr w:rsidR="00DC3EFC" w14:paraId="4C01112B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2B9E64E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2D73F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Renda Fixa - Art. 7º, III, “a”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8957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11.289.865,22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A6FD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24,57%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15523A5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60,00%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E94F94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42B817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36,00%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41385C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70,00%</w:t>
            </w:r>
          </w:p>
        </w:tc>
      </w:tr>
      <w:tr w:rsidR="00DC3EFC" w14:paraId="1751E4EB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5FFC769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E3BC5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de Índices Renda Fixa - Art. 7º, III, “b”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7E84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5F0D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45F518C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60,00%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6C5A51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75C93F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5A6492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0,00%</w:t>
            </w:r>
          </w:p>
        </w:tc>
      </w:tr>
      <w:tr w:rsidR="00DC3EFC" w14:paraId="7309A9BB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3BC7CD3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943AC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Ativos Bancários - Art. 7º, IV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6054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5.672.023,48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4A4D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12,34%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6474D39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20,00%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0E597D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2FE77A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6,50%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7423C2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20,00%</w:t>
            </w:r>
          </w:p>
        </w:tc>
      </w:tr>
      <w:tr w:rsidR="00DC3EFC" w14:paraId="6A52E9CF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54C172C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D2246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Direitos Creditórios (FIDC) - sênior - Art. 7º, V, "a"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8931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2.574.261,80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F09D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5,60%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0999FB1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343583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99CC15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DB16A9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5,00%</w:t>
            </w:r>
          </w:p>
        </w:tc>
      </w:tr>
      <w:tr w:rsidR="00DC3EFC" w14:paraId="03BF698D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09E0AAE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A2230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Renda Fixa "Crédito Privado"- Art. 7º, V, "b"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E47F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C390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6C14C15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34B2EB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64B9D7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DE48B4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10,00%</w:t>
            </w:r>
          </w:p>
        </w:tc>
      </w:tr>
      <w:tr w:rsidR="00DC3EFC" w14:paraId="70E9F68B" w14:textId="77777777" w:rsidTr="00E435CB">
        <w:trPr>
          <w:trHeight w:val="285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141026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58AB3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 w:eastAsia="pt-BR"/>
              </w:rPr>
              <w:t>FI "Debentures"- Art. 7º, V, "c"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6BCB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34B9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0398C5A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6E2E4D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972ECA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8ED412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0,00%</w:t>
            </w:r>
          </w:p>
        </w:tc>
      </w:tr>
      <w:tr w:rsidR="00DC3EFC" w14:paraId="6E4B9443" w14:textId="77777777" w:rsidTr="00E435CB">
        <w:trPr>
          <w:trHeight w:val="285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5AA4303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67DAF31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55AD9BC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42.257.396,13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003D8E3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91,96%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5484951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7D57678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1D2C3AD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94,50%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44D9B04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100,00%</w:t>
            </w:r>
          </w:p>
        </w:tc>
      </w:tr>
      <w:tr w:rsidR="00DC3EFC" w14:paraId="63E23B03" w14:textId="77777777" w:rsidTr="00E435CB">
        <w:trPr>
          <w:trHeight w:val="271"/>
          <w:jc w:val="center"/>
        </w:trPr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483C8B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  <w:t>Renda Variável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74655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Ações - Art. 8º, 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11F36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3.428.681,90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3D66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7,46%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55348C9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30,00%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C02B48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ED39A6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6D7E7B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30,00%</w:t>
            </w:r>
          </w:p>
        </w:tc>
      </w:tr>
      <w:tr w:rsidR="00DC3EFC" w14:paraId="340527AD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78FEDDD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2908C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de Índices Ações - Art. 8º, II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0314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FA2F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538C020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30,00%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D376D2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2639FD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2F74B0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10,00%</w:t>
            </w:r>
          </w:p>
        </w:tc>
      </w:tr>
      <w:tr w:rsidR="00DC3EFC" w14:paraId="0391F12D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44CFE82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70AAF0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FE9B7F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3.428.681,90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442AA6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7,46%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3C91575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2ED0778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b/>
                <w:bCs/>
                <w:color w:val="000000"/>
                <w:sz w:val="16"/>
                <w:szCs w:val="16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0E8738F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2,00%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4A1F07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b/>
                <w:bCs/>
                <w:color w:val="000000"/>
                <w:sz w:val="16"/>
                <w:szCs w:val="16"/>
              </w:rPr>
              <w:t>40,00%</w:t>
            </w:r>
          </w:p>
        </w:tc>
      </w:tr>
      <w:tr w:rsidR="00DC3EFC" w14:paraId="4B88F709" w14:textId="77777777" w:rsidTr="00E435CB">
        <w:trPr>
          <w:trHeight w:val="271"/>
          <w:jc w:val="center"/>
        </w:trPr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10DE01D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  <w:t>Investimentos no Exterior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8B127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Renda Fixa - Dívida Externa - Art. 9º, 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0F32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D95D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4C19E4B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868469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369610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CBC36A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10,00%</w:t>
            </w:r>
          </w:p>
        </w:tc>
      </w:tr>
      <w:tr w:rsidR="00DC3EFC" w14:paraId="24669881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079FCB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E100A0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Investimento no Exterior - Art. 9º, II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1D58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9D9B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70B1048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206EBA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E8C672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B5EF19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10,00%</w:t>
            </w:r>
          </w:p>
        </w:tc>
      </w:tr>
      <w:tr w:rsidR="00DC3EFC" w14:paraId="6D45DEF8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0EF5494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82BE2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Ações - BDR Nível I - Art. 9º, III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8852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9BD6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7694F3A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B53836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DE5533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1B58F4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10,00%</w:t>
            </w:r>
          </w:p>
        </w:tc>
      </w:tr>
      <w:tr w:rsidR="00DC3EFC" w14:paraId="18ACA73E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2C87C3E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F747AC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296B45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4A90CF8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3077810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39CFE5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8D56C6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5EAC726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10,00%</w:t>
            </w:r>
          </w:p>
        </w:tc>
      </w:tr>
      <w:tr w:rsidR="00DC3EFC" w14:paraId="2A87FB5C" w14:textId="77777777" w:rsidTr="00E435CB">
        <w:trPr>
          <w:trHeight w:val="271"/>
          <w:jc w:val="center"/>
        </w:trPr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3298AB4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  <w:t>Investimentos Estruturados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E72CB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Multimercado - aberto - Art. 10, 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6A69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1EEA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41CE84C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AC8413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F7A0DE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8734E1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10,00%</w:t>
            </w:r>
          </w:p>
        </w:tc>
      </w:tr>
      <w:tr w:rsidR="00DC3EFC" w14:paraId="01721204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3DC2CFF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00A05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em Participações - Art. 10, II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D47D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AF8C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536697C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1D96A9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CDAC64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FF6283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</w:tr>
      <w:tr w:rsidR="00DC3EFC" w14:paraId="1FC8B5E1" w14:textId="77777777" w:rsidTr="00E435CB">
        <w:trPr>
          <w:trHeight w:val="285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1029C7D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57421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 xml:space="preserve">FI “Ações - Mercado de </w:t>
            </w:r>
            <w:proofErr w:type="gramStart"/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Acesso”-</w:t>
            </w:r>
            <w:proofErr w:type="gramEnd"/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 xml:space="preserve"> Art. 10, III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4EB3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0A1A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37A5EE1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3ABB63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D79DE8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75AC1C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</w:tr>
      <w:tr w:rsidR="00DC3EFC" w14:paraId="7AE553F7" w14:textId="77777777" w:rsidTr="00E435CB">
        <w:trPr>
          <w:trHeight w:val="285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71F6304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0CA644A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61A5352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19F4FBA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6665F68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70AF64D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13BD91F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6A9540D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15,00%</w:t>
            </w:r>
          </w:p>
        </w:tc>
      </w:tr>
      <w:tr w:rsidR="00DC3EFC" w14:paraId="48E34599" w14:textId="77777777" w:rsidTr="00E435CB">
        <w:trPr>
          <w:trHeight w:val="285"/>
          <w:jc w:val="center"/>
        </w:trPr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4AD31F1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  <w:t>Fundos Imobiliários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05CB902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Imobiliário - Art. 11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0323AAD" w14:textId="77777777" w:rsidR="00DC3EFC" w:rsidRPr="00AE7127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 w:rsidRPr="00AE7127"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265.142,36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201B41F" w14:textId="77777777" w:rsidR="00DC3EFC" w:rsidRPr="00AE7127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 w:rsidRPr="00AE7127"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0,58%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667E8B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B57C46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117141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0,50%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D6A7A5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</w:tr>
      <w:tr w:rsidR="00DC3EFC" w14:paraId="29565F8D" w14:textId="77777777" w:rsidTr="00E435CB">
        <w:trPr>
          <w:trHeight w:val="285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51F1E60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4813A15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34227DC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265.142,36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2A3FDA9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0,58%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EB2900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534C31F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b/>
                <w:bCs/>
                <w:color w:val="000000"/>
                <w:sz w:val="16"/>
                <w:szCs w:val="16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2D2586E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0,50%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13B5324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b/>
                <w:bCs/>
                <w:color w:val="000000"/>
                <w:sz w:val="16"/>
                <w:szCs w:val="16"/>
              </w:rPr>
              <w:t>5,00%</w:t>
            </w:r>
          </w:p>
        </w:tc>
      </w:tr>
      <w:tr w:rsidR="00DC3EFC" w14:paraId="0B8ABD97" w14:textId="77777777" w:rsidTr="00E435CB">
        <w:trPr>
          <w:trHeight w:val="285"/>
          <w:jc w:val="center"/>
        </w:trPr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719C7FE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  <w:t>Empréstimos Consignados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BE4DA41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Empréstimos Consignados – Art. 12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595AEC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A5EE6D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5CB1BE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BF942A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47FF30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B9B9AB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</w:tr>
      <w:tr w:rsidR="00DC3EFC" w14:paraId="7BD4E93B" w14:textId="77777777" w:rsidTr="00E435CB">
        <w:trPr>
          <w:trHeight w:val="285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498074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375CC65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7D32391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0AC4413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2607383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7E058B1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35B713F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4B86576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5,00%</w:t>
            </w:r>
          </w:p>
        </w:tc>
      </w:tr>
      <w:tr w:rsidR="00DC3EFC" w14:paraId="57914216" w14:textId="77777777" w:rsidTr="00E435CB">
        <w:trPr>
          <w:trHeight w:val="285"/>
          <w:jc w:val="center"/>
        </w:trPr>
        <w:tc>
          <w:tcPr>
            <w:tcW w:w="907" w:type="dxa"/>
            <w:tcBorders>
              <w:top w:val="single" w:sz="4" w:space="0" w:color="000000"/>
            </w:tcBorders>
            <w:vAlign w:val="center"/>
          </w:tcPr>
          <w:p w14:paraId="3204673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</w:tcBorders>
            <w:vAlign w:val="center"/>
          </w:tcPr>
          <w:p w14:paraId="6DF82FF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Total Geral</w:t>
            </w:r>
          </w:p>
        </w:tc>
        <w:tc>
          <w:tcPr>
            <w:tcW w:w="1199" w:type="dxa"/>
            <w:tcBorders>
              <w:top w:val="single" w:sz="4" w:space="0" w:color="000000"/>
            </w:tcBorders>
            <w:vAlign w:val="center"/>
          </w:tcPr>
          <w:p w14:paraId="655452F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F31F4"/>
                <w:sz w:val="16"/>
                <w:szCs w:val="16"/>
                <w:lang w:eastAsia="pt-BR"/>
              </w:rPr>
              <w:t>45.951.220,39</w:t>
            </w:r>
          </w:p>
        </w:tc>
        <w:tc>
          <w:tcPr>
            <w:tcW w:w="1000" w:type="dxa"/>
            <w:tcBorders>
              <w:top w:val="single" w:sz="4" w:space="0" w:color="000000"/>
            </w:tcBorders>
            <w:vAlign w:val="center"/>
          </w:tcPr>
          <w:p w14:paraId="6F00D2A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F31F4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734" w:type="dxa"/>
            <w:tcBorders>
              <w:top w:val="single" w:sz="4" w:space="0" w:color="000000"/>
            </w:tcBorders>
            <w:vAlign w:val="center"/>
          </w:tcPr>
          <w:p w14:paraId="0D9F597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</w:tcBorders>
            <w:vAlign w:val="center"/>
          </w:tcPr>
          <w:p w14:paraId="3537242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F31F4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</w:tcBorders>
            <w:vAlign w:val="center"/>
          </w:tcPr>
          <w:p w14:paraId="1F73FAA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F31F4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1074" w:type="dxa"/>
            <w:tcBorders>
              <w:top w:val="single" w:sz="4" w:space="0" w:color="000000"/>
            </w:tcBorders>
            <w:vAlign w:val="center"/>
          </w:tcPr>
          <w:p w14:paraId="3F6317B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F31F4"/>
                <w:sz w:val="16"/>
                <w:szCs w:val="16"/>
                <w:lang w:eastAsia="pt-BR"/>
              </w:rPr>
              <w:t>100,00%</w:t>
            </w:r>
          </w:p>
        </w:tc>
      </w:tr>
    </w:tbl>
    <w:p w14:paraId="7AA11CD5" w14:textId="77777777" w:rsidR="00DC3EFC" w:rsidRPr="000F4B88" w:rsidRDefault="00DC3EFC" w:rsidP="00DC3EFC">
      <w:pPr>
        <w:spacing w:after="160" w:line="259" w:lineRule="auto"/>
        <w:jc w:val="both"/>
      </w:pPr>
    </w:p>
    <w:p w14:paraId="11DC053A" w14:textId="745C3C28" w:rsidR="00DC3EFC" w:rsidRPr="00202926" w:rsidRDefault="00A8708E" w:rsidP="00DC3EFC">
      <w:pPr>
        <w:spacing w:after="160" w:line="259" w:lineRule="auto"/>
        <w:jc w:val="both"/>
        <w:rPr>
          <w:rFonts w:ascii="Arial" w:hAnsi="Arial" w:cs="Arial"/>
        </w:rPr>
      </w:pPr>
      <w:r w:rsidRPr="00202926">
        <w:rPr>
          <w:rFonts w:ascii="Arial" w:hAnsi="Arial" w:cs="Arial"/>
          <w:shd w:val="clear" w:color="auto" w:fill="FFFFFF"/>
        </w:rPr>
        <w:t>Após as discussões, os conselheiros presentes votaram </w:t>
      </w:r>
      <w:r w:rsidRPr="00202926">
        <w:rPr>
          <w:rFonts w:ascii="Arial" w:hAnsi="Arial" w:cs="Arial"/>
          <w:b/>
          <w:bCs/>
          <w:shd w:val="clear" w:color="auto" w:fill="FFFFFF"/>
        </w:rPr>
        <w:t>por unanimidade</w:t>
      </w:r>
      <w:r w:rsidRPr="00202926">
        <w:rPr>
          <w:rFonts w:ascii="Arial" w:hAnsi="Arial" w:cs="Arial"/>
          <w:shd w:val="clear" w:color="auto" w:fill="FFFFFF"/>
        </w:rPr>
        <w:t xml:space="preserve"> pela aprovação da Política de Investimentos 2026. A equipe administrativa providenciará a elaboração do DPIN (Demonstrativo da Política de Investimentos) para inserção no sistema </w:t>
      </w:r>
      <w:proofErr w:type="spellStart"/>
      <w:r w:rsidRPr="00202926">
        <w:rPr>
          <w:rFonts w:ascii="Arial" w:hAnsi="Arial" w:cs="Arial"/>
          <w:shd w:val="clear" w:color="auto" w:fill="FFFFFF"/>
        </w:rPr>
        <w:t>Cadprev</w:t>
      </w:r>
      <w:proofErr w:type="spellEnd"/>
      <w:r w:rsidRPr="00202926">
        <w:rPr>
          <w:rFonts w:ascii="Arial" w:hAnsi="Arial" w:cs="Arial"/>
          <w:shd w:val="clear" w:color="auto" w:fill="FFFFFF"/>
        </w:rPr>
        <w:t xml:space="preserve"> até o prazo </w:t>
      </w:r>
      <w:proofErr w:type="spellStart"/>
      <w:r w:rsidRPr="00202926">
        <w:rPr>
          <w:rFonts w:ascii="Arial" w:hAnsi="Arial" w:cs="Arial"/>
          <w:shd w:val="clear" w:color="auto" w:fill="FFFFFF"/>
        </w:rPr>
        <w:t>legal.</w:t>
      </w:r>
      <w:r w:rsidR="00A32659" w:rsidRPr="00202926">
        <w:rPr>
          <w:rFonts w:ascii="Arial" w:hAnsi="Arial" w:cs="Arial"/>
        </w:rPr>
        <w:t>A</w:t>
      </w:r>
      <w:proofErr w:type="spellEnd"/>
      <w:r w:rsidR="00A32659" w:rsidRPr="00202926">
        <w:rPr>
          <w:rFonts w:ascii="Arial" w:hAnsi="Arial" w:cs="Arial"/>
        </w:rPr>
        <w:t xml:space="preserve"> </w:t>
      </w:r>
      <w:r w:rsidR="00DC3EFC" w:rsidRPr="00202926">
        <w:rPr>
          <w:rFonts w:ascii="Arial" w:hAnsi="Arial" w:cs="Arial"/>
        </w:rPr>
        <w:t xml:space="preserve">Política entrará em </w:t>
      </w:r>
      <w:r w:rsidRPr="00202926">
        <w:rPr>
          <w:rFonts w:ascii="Arial" w:hAnsi="Arial" w:cs="Arial"/>
        </w:rPr>
        <w:t>vigor em 1º de janeiro de 2026.</w:t>
      </w:r>
      <w:r w:rsidR="00DC3EFC" w:rsidRPr="00202926">
        <w:rPr>
          <w:rFonts w:ascii="Arial" w:hAnsi="Arial" w:cs="Arial"/>
        </w:rPr>
        <w:t xml:space="preserve">Nada mais havendo a tratar, a Presidente </w:t>
      </w:r>
      <w:r w:rsidRPr="00202926">
        <w:rPr>
          <w:rFonts w:ascii="Arial" w:hAnsi="Arial" w:cs="Arial"/>
        </w:rPr>
        <w:t>Marcia Helena Pires Reis</w:t>
      </w:r>
      <w:r w:rsidR="00DC3EFC" w:rsidRPr="00202926">
        <w:rPr>
          <w:rFonts w:ascii="Arial" w:hAnsi="Arial" w:cs="Arial"/>
        </w:rPr>
        <w:t xml:space="preserve"> agradeceu a participação de todos e encerrou a reunião. Eu, </w:t>
      </w:r>
      <w:r w:rsidRPr="00202926">
        <w:rPr>
          <w:rFonts w:ascii="Arial" w:hAnsi="Arial" w:cs="Arial"/>
        </w:rPr>
        <w:t>Rejane Ferreira Guimarães Martins</w:t>
      </w:r>
      <w:r w:rsidR="00DC3EFC" w:rsidRPr="00202926">
        <w:rPr>
          <w:rFonts w:ascii="Arial" w:hAnsi="Arial" w:cs="Arial"/>
        </w:rPr>
        <w:t xml:space="preserve">, ________________________, secretária do </w:t>
      </w:r>
      <w:r w:rsidRPr="00202926">
        <w:rPr>
          <w:rFonts w:ascii="Arial" w:hAnsi="Arial" w:cs="Arial"/>
        </w:rPr>
        <w:t>Conselho Administrativo</w:t>
      </w:r>
      <w:r w:rsidR="00DC3EFC" w:rsidRPr="00202926">
        <w:rPr>
          <w:rFonts w:ascii="Arial" w:hAnsi="Arial" w:cs="Arial"/>
        </w:rPr>
        <w:t xml:space="preserve">, lavrei a presente ata, que, lida e aprovada, será assinada pelos membros presentes. Guanhães, </w:t>
      </w:r>
      <w:r w:rsidR="00A8590F" w:rsidRPr="00202926">
        <w:rPr>
          <w:rFonts w:ascii="Arial" w:hAnsi="Arial" w:cs="Arial"/>
        </w:rPr>
        <w:t>0</w:t>
      </w:r>
      <w:r w:rsidR="00DC3EFC" w:rsidRPr="00202926">
        <w:rPr>
          <w:rFonts w:ascii="Arial" w:hAnsi="Arial" w:cs="Arial"/>
        </w:rPr>
        <w:t>8 de dezembro de 2025.</w:t>
      </w:r>
    </w:p>
    <w:p w14:paraId="5E3D008C" w14:textId="77777777" w:rsidR="005032DB" w:rsidRPr="00202926" w:rsidRDefault="005032DB" w:rsidP="00DC3EFC">
      <w:pPr>
        <w:spacing w:after="160" w:line="259" w:lineRule="auto"/>
        <w:jc w:val="both"/>
        <w:rPr>
          <w:rFonts w:ascii="Arial" w:hAnsi="Arial" w:cs="Arial"/>
        </w:rPr>
      </w:pPr>
    </w:p>
    <w:p w14:paraId="4DAC7A18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  <w:sz w:val="10"/>
          <w:szCs w:val="10"/>
        </w:rPr>
      </w:pPr>
    </w:p>
    <w:p w14:paraId="78004A1A" w14:textId="084A5D27" w:rsidR="005032DB" w:rsidRPr="00202926" w:rsidRDefault="005032DB" w:rsidP="005032DB">
      <w:pPr>
        <w:spacing w:after="0" w:line="240" w:lineRule="auto"/>
        <w:rPr>
          <w:rFonts w:ascii="Arial" w:hAnsi="Arial" w:cs="Arial"/>
        </w:rPr>
      </w:pPr>
      <w:r w:rsidRPr="00202926">
        <w:rPr>
          <w:rFonts w:ascii="Times New Roman" w:hAnsi="Times New Roman" w:cs="Times New Roman"/>
          <w:sz w:val="20"/>
          <w:szCs w:val="20"/>
        </w:rPr>
        <w:t xml:space="preserve">  </w:t>
      </w:r>
      <w:r w:rsidRPr="00202926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202926">
        <w:rPr>
          <w:rFonts w:ascii="Times New Roman" w:hAnsi="Times New Roman" w:cs="Times New Roman"/>
          <w:sz w:val="20"/>
          <w:szCs w:val="20"/>
        </w:rPr>
        <w:t xml:space="preserve">   </w:t>
      </w:r>
      <w:r w:rsidRPr="00202926">
        <w:rPr>
          <w:rFonts w:ascii="Times New Roman" w:hAnsi="Times New Roman" w:cs="Times New Roman"/>
          <w:sz w:val="20"/>
          <w:szCs w:val="20"/>
        </w:rPr>
        <w:t xml:space="preserve">   </w:t>
      </w:r>
      <w:r w:rsidRPr="00202926">
        <w:rPr>
          <w:rFonts w:ascii="Arial" w:hAnsi="Arial" w:cs="Arial"/>
        </w:rPr>
        <w:t>Marcia Helena Pires Reis</w:t>
      </w:r>
      <w:r w:rsidRPr="00202926">
        <w:rPr>
          <w:rFonts w:ascii="Arial" w:hAnsi="Arial" w:cs="Arial"/>
        </w:rPr>
        <w:t xml:space="preserve">    </w:t>
      </w:r>
      <w:r w:rsidRPr="00202926">
        <w:rPr>
          <w:rFonts w:ascii="Arial" w:hAnsi="Arial" w:cs="Arial"/>
        </w:rPr>
        <w:t xml:space="preserve">                   </w:t>
      </w:r>
      <w:r w:rsidRPr="00202926">
        <w:rPr>
          <w:rFonts w:ascii="Arial" w:hAnsi="Arial" w:cs="Arial"/>
        </w:rPr>
        <w:t xml:space="preserve">  </w:t>
      </w:r>
      <w:r w:rsidRPr="00202926">
        <w:rPr>
          <w:rFonts w:ascii="Arial" w:hAnsi="Arial" w:cs="Arial"/>
        </w:rPr>
        <w:t xml:space="preserve">              </w:t>
      </w:r>
      <w:r w:rsidRPr="00202926">
        <w:rPr>
          <w:rFonts w:ascii="Arial" w:hAnsi="Arial" w:cs="Arial"/>
        </w:rPr>
        <w:t xml:space="preserve">Rejane F. Guimarães Martins                                              </w:t>
      </w:r>
    </w:p>
    <w:p w14:paraId="3E27C34D" w14:textId="0286CBF0" w:rsidR="005032DB" w:rsidRPr="00202926" w:rsidRDefault="005032DB" w:rsidP="005032DB">
      <w:pPr>
        <w:spacing w:after="0" w:line="240" w:lineRule="auto"/>
        <w:rPr>
          <w:rFonts w:ascii="Arial" w:hAnsi="Arial" w:cs="Arial"/>
        </w:rPr>
      </w:pPr>
      <w:r w:rsidRPr="00202926">
        <w:rPr>
          <w:rFonts w:ascii="Arial" w:hAnsi="Arial" w:cs="Arial"/>
        </w:rPr>
        <w:t xml:space="preserve">                    </w:t>
      </w:r>
      <w:r w:rsidRPr="00202926">
        <w:rPr>
          <w:rFonts w:ascii="Arial" w:hAnsi="Arial" w:cs="Arial"/>
        </w:rPr>
        <w:t xml:space="preserve">        Presidente                                                          </w:t>
      </w:r>
      <w:r w:rsidRPr="00202926">
        <w:rPr>
          <w:rFonts w:ascii="Arial" w:hAnsi="Arial" w:cs="Arial"/>
        </w:rPr>
        <w:t xml:space="preserve">Secretária                                                                       </w:t>
      </w:r>
    </w:p>
    <w:p w14:paraId="431713F9" w14:textId="560424B0" w:rsidR="005032DB" w:rsidRPr="00202926" w:rsidRDefault="005032DB" w:rsidP="005032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7660621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</w:p>
    <w:p w14:paraId="5006158D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</w:p>
    <w:p w14:paraId="2F80A7C4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</w:p>
    <w:p w14:paraId="75B0D774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</w:p>
    <w:p w14:paraId="1C466166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</w:p>
    <w:p w14:paraId="53133B07" w14:textId="7DC8FC20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  <w:r w:rsidRPr="00202926">
        <w:rPr>
          <w:rFonts w:ascii="Arial" w:hAnsi="Arial" w:cs="Arial"/>
        </w:rPr>
        <w:t xml:space="preserve">   </w:t>
      </w:r>
      <w:r w:rsidRPr="00202926">
        <w:rPr>
          <w:rFonts w:ascii="Arial" w:hAnsi="Arial" w:cs="Arial"/>
        </w:rPr>
        <w:t xml:space="preserve"> Carla Maitê Patrocínio                   Elaine de Fatima Silva                 </w:t>
      </w:r>
      <w:proofErr w:type="spellStart"/>
      <w:r w:rsidRPr="00202926">
        <w:rPr>
          <w:rFonts w:ascii="Arial" w:hAnsi="Arial" w:cs="Arial"/>
        </w:rPr>
        <w:t>Junia</w:t>
      </w:r>
      <w:proofErr w:type="spellEnd"/>
      <w:r w:rsidRPr="00202926">
        <w:rPr>
          <w:rFonts w:ascii="Arial" w:hAnsi="Arial" w:cs="Arial"/>
        </w:rPr>
        <w:t xml:space="preserve"> Paula S. Menezes</w:t>
      </w:r>
    </w:p>
    <w:p w14:paraId="23CC657E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  <w:r w:rsidRPr="00202926">
        <w:rPr>
          <w:rFonts w:ascii="Arial" w:hAnsi="Arial" w:cs="Arial"/>
        </w:rPr>
        <w:t xml:space="preserve">               Membro                                      </w:t>
      </w:r>
      <w:proofErr w:type="spellStart"/>
      <w:r w:rsidRPr="00202926">
        <w:rPr>
          <w:rFonts w:ascii="Arial" w:hAnsi="Arial" w:cs="Arial"/>
        </w:rPr>
        <w:t>Membro</w:t>
      </w:r>
      <w:proofErr w:type="spellEnd"/>
      <w:r w:rsidRPr="00202926">
        <w:rPr>
          <w:rFonts w:ascii="Arial" w:hAnsi="Arial" w:cs="Arial"/>
        </w:rPr>
        <w:t xml:space="preserve">                                             </w:t>
      </w:r>
      <w:proofErr w:type="spellStart"/>
      <w:r w:rsidRPr="00202926">
        <w:rPr>
          <w:rFonts w:ascii="Arial" w:hAnsi="Arial" w:cs="Arial"/>
        </w:rPr>
        <w:t>Membro</w:t>
      </w:r>
      <w:proofErr w:type="spellEnd"/>
    </w:p>
    <w:p w14:paraId="735E6677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</w:p>
    <w:p w14:paraId="078DDF51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</w:p>
    <w:p w14:paraId="68BCD21B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</w:p>
    <w:p w14:paraId="2ED5520B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</w:p>
    <w:p w14:paraId="48B9299E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</w:p>
    <w:p w14:paraId="027E6007" w14:textId="77777777" w:rsidR="005032DB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  <w:r w:rsidRPr="00202926">
        <w:rPr>
          <w:rFonts w:ascii="Arial" w:hAnsi="Arial" w:cs="Arial"/>
        </w:rPr>
        <w:t xml:space="preserve">  Mariana da Silva Rosa                       Robson Barbosa                      Wanessa Marina Pimenta</w:t>
      </w:r>
    </w:p>
    <w:p w14:paraId="01DA2107" w14:textId="37AD5829" w:rsidR="00330475" w:rsidRPr="00202926" w:rsidRDefault="005032DB" w:rsidP="005032DB">
      <w:pPr>
        <w:spacing w:after="0" w:line="240" w:lineRule="auto"/>
        <w:jc w:val="both"/>
        <w:rPr>
          <w:rFonts w:ascii="Arial" w:hAnsi="Arial" w:cs="Arial"/>
        </w:rPr>
      </w:pPr>
      <w:r w:rsidRPr="00202926">
        <w:rPr>
          <w:rFonts w:ascii="Arial" w:hAnsi="Arial" w:cs="Arial"/>
        </w:rPr>
        <w:t xml:space="preserve">           Membro                                         </w:t>
      </w:r>
      <w:proofErr w:type="spellStart"/>
      <w:r w:rsidRPr="00202926">
        <w:rPr>
          <w:rFonts w:ascii="Arial" w:hAnsi="Arial" w:cs="Arial"/>
        </w:rPr>
        <w:t>Membro</w:t>
      </w:r>
      <w:proofErr w:type="spellEnd"/>
      <w:r w:rsidRPr="00202926">
        <w:rPr>
          <w:rFonts w:ascii="Arial" w:hAnsi="Arial" w:cs="Arial"/>
        </w:rPr>
        <w:t xml:space="preserve">                                               </w:t>
      </w:r>
      <w:proofErr w:type="spellStart"/>
      <w:r w:rsidRPr="00202926">
        <w:rPr>
          <w:rFonts w:ascii="Arial" w:hAnsi="Arial" w:cs="Arial"/>
        </w:rPr>
        <w:t>Membro</w:t>
      </w:r>
      <w:bookmarkEnd w:id="0"/>
      <w:proofErr w:type="spellEnd"/>
    </w:p>
    <w:sectPr w:rsidR="00330475" w:rsidRPr="00202926" w:rsidSect="00DC3E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3" w:bottom="426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E94E59" w14:textId="77777777" w:rsidR="00AE38A1" w:rsidRDefault="00AE38A1" w:rsidP="00AE38A1">
      <w:pPr>
        <w:spacing w:after="0" w:line="240" w:lineRule="auto"/>
      </w:pPr>
      <w:r>
        <w:separator/>
      </w:r>
    </w:p>
  </w:endnote>
  <w:endnote w:type="continuationSeparator" w:id="0">
    <w:p w14:paraId="790945C6" w14:textId="77777777" w:rsidR="00AE38A1" w:rsidRDefault="00AE38A1" w:rsidP="00AE3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3D670E" w14:textId="77777777" w:rsidR="006B11D8" w:rsidRDefault="006B11D8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9F7819" w14:textId="0CD7D499" w:rsidR="00AC2144" w:rsidRDefault="006B11D8" w:rsidP="006B11D8">
    <w:pPr>
      <w:jc w:val="center"/>
    </w:pPr>
    <w:r>
      <w:rPr>
        <w:rFonts w:cstheme="minorHAnsi"/>
        <w:b/>
        <w:color w:val="17365D" w:themeColor="text2" w:themeShade="BF"/>
        <w:sz w:val="20"/>
        <w:szCs w:val="20"/>
      </w:rPr>
      <w:br/>
    </w:r>
    <w:r w:rsidR="00AC2144" w:rsidRPr="00507063">
      <w:rPr>
        <w:rFonts w:cstheme="minorHAnsi"/>
        <w:b/>
        <w:color w:val="17365D" w:themeColor="text2" w:themeShade="BF"/>
        <w:sz w:val="20"/>
        <w:szCs w:val="20"/>
      </w:rPr>
      <w:t>Rua Monsenhor Pinheiro, 101 – Centro –</w:t>
    </w:r>
    <w:r>
      <w:rPr>
        <w:rFonts w:cstheme="minorHAnsi"/>
        <w:b/>
        <w:color w:val="17365D" w:themeColor="text2" w:themeShade="BF"/>
        <w:sz w:val="20"/>
        <w:szCs w:val="20"/>
      </w:rPr>
      <w:t xml:space="preserve"> </w:t>
    </w:r>
    <w:r w:rsidR="00AC2144" w:rsidRPr="00507063">
      <w:rPr>
        <w:rFonts w:cstheme="minorHAnsi"/>
        <w:b/>
        <w:color w:val="17365D" w:themeColor="text2" w:themeShade="BF"/>
        <w:sz w:val="20"/>
        <w:szCs w:val="20"/>
      </w:rPr>
      <w:t xml:space="preserve">Guanhães – MG – </w:t>
    </w:r>
    <w:r w:rsidRPr="00507063">
      <w:rPr>
        <w:rFonts w:cstheme="minorHAnsi"/>
        <w:b/>
        <w:color w:val="17365D" w:themeColor="text2" w:themeShade="BF"/>
        <w:sz w:val="20"/>
        <w:szCs w:val="20"/>
      </w:rPr>
      <w:t>39740-000 – site: guanhaesprev.mg.gov.br</w:t>
    </w:r>
    <w:r>
      <w:rPr>
        <w:rFonts w:cstheme="minorHAnsi"/>
        <w:b/>
        <w:color w:val="17365D" w:themeColor="text2" w:themeShade="BF"/>
        <w:sz w:val="20"/>
        <w:szCs w:val="20"/>
      </w:rPr>
      <w:t xml:space="preserve"> </w:t>
    </w:r>
    <w:r>
      <w:rPr>
        <w:rFonts w:cstheme="minorHAnsi"/>
        <w:b/>
        <w:color w:val="17365D" w:themeColor="text2" w:themeShade="BF"/>
        <w:sz w:val="20"/>
        <w:szCs w:val="20"/>
      </w:rPr>
      <w:br/>
    </w:r>
    <w:r w:rsidR="00AC2144" w:rsidRPr="00507063">
      <w:rPr>
        <w:rFonts w:cstheme="minorHAnsi"/>
        <w:b/>
        <w:color w:val="17365D" w:themeColor="text2" w:themeShade="BF"/>
        <w:sz w:val="20"/>
        <w:szCs w:val="20"/>
      </w:rPr>
      <w:t>Tel.: (33) 3421-5576</w:t>
    </w:r>
    <w:r w:rsidR="00AC2144">
      <w:rPr>
        <w:rFonts w:cstheme="minorHAnsi"/>
        <w:b/>
        <w:color w:val="17365D" w:themeColor="text2" w:themeShade="BF"/>
        <w:sz w:val="20"/>
        <w:szCs w:val="20"/>
      </w:rPr>
      <w:t xml:space="preserve"> – WhatsApp (33) 3421-5309</w:t>
    </w:r>
    <w:r>
      <w:rPr>
        <w:rFonts w:cstheme="minorHAnsi"/>
        <w:b/>
        <w:color w:val="17365D" w:themeColor="text2" w:themeShade="BF"/>
        <w:sz w:val="20"/>
        <w:szCs w:val="20"/>
      </w:rPr>
      <w:t xml:space="preserve"> - </w:t>
    </w:r>
    <w:r w:rsidR="00AC2144" w:rsidRPr="00507063">
      <w:rPr>
        <w:rFonts w:cstheme="minorHAnsi"/>
        <w:b/>
        <w:color w:val="17365D" w:themeColor="text2" w:themeShade="BF"/>
        <w:sz w:val="20"/>
        <w:szCs w:val="20"/>
      </w:rPr>
      <w:t xml:space="preserve">e-mail: </w:t>
    </w:r>
    <w:hyperlink r:id="rId1" w:history="1">
      <w:r w:rsidRPr="005E2774">
        <w:rPr>
          <w:rStyle w:val="Hyperlink"/>
          <w:rFonts w:cstheme="minorHAnsi"/>
          <w:b/>
          <w:sz w:val="20"/>
          <w:szCs w:val="20"/>
        </w:rPr>
        <w:t>rpps@guanhaesprev.mg.gov.br</w:t>
      </w:r>
    </w:hyperlink>
    <w:r>
      <w:rPr>
        <w:rFonts w:cstheme="minorHAnsi"/>
        <w:b/>
        <w:color w:val="17365D" w:themeColor="text2" w:themeShade="BF"/>
        <w:sz w:val="20"/>
        <w:szCs w:val="20"/>
      </w:rPr>
      <w:br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1B4435" w14:textId="77777777" w:rsidR="006B11D8" w:rsidRDefault="006B11D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211589" w14:textId="77777777" w:rsidR="00AE38A1" w:rsidRDefault="00AE38A1" w:rsidP="00AE38A1">
      <w:pPr>
        <w:spacing w:after="0" w:line="240" w:lineRule="auto"/>
      </w:pPr>
      <w:r>
        <w:separator/>
      </w:r>
    </w:p>
  </w:footnote>
  <w:footnote w:type="continuationSeparator" w:id="0">
    <w:p w14:paraId="29047E70" w14:textId="77777777" w:rsidR="00AE38A1" w:rsidRDefault="00AE38A1" w:rsidP="00AE3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4CD35C" w14:textId="1F251A1E" w:rsidR="00AE38A1" w:rsidRDefault="00D55BED">
    <w:pPr>
      <w:pStyle w:val="Cabealho"/>
    </w:pPr>
    <w:r>
      <w:rPr>
        <w:noProof/>
      </w:rPr>
      <w:pict w14:anchorId="6D67C0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2050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88269F" w14:textId="72282395" w:rsidR="00AE38A1" w:rsidRDefault="00AC2144" w:rsidP="00AC2144">
    <w:pPr>
      <w:ind w:left="3119" w:hanging="425"/>
      <w:jc w:val="center"/>
    </w:pPr>
    <w:bookmarkStart w:id="2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68480" behindDoc="1" locked="0" layoutInCell="1" allowOverlap="1" wp14:anchorId="107D7129" wp14:editId="376AE286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523843418" name="Imagem 1523843418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5E5F49">
      <w:rPr>
        <w:b/>
        <w:i/>
        <w:iCs/>
        <w:sz w:val="28"/>
        <w:szCs w:val="28"/>
        <w:u w:val="single"/>
      </w:rPr>
      <w:t xml:space="preserve">INSTITUTO DE PREVIDÊNCIA DOS SERVIDORES PÚBLICOS   </w:t>
    </w:r>
    <w:r w:rsidRPr="005E5F49">
      <w:rPr>
        <w:b/>
        <w:i/>
        <w:iCs/>
        <w:sz w:val="28"/>
        <w:szCs w:val="28"/>
        <w:u w:val="single"/>
      </w:rPr>
      <w:br/>
      <w:t>DO MUNICÍPIO DE GUANHÃES</w:t>
    </w:r>
    <w:r w:rsidRPr="005E5F49">
      <w:rPr>
        <w:b/>
        <w:i/>
        <w:iCs/>
        <w:sz w:val="28"/>
        <w:szCs w:val="28"/>
      </w:rPr>
      <w:t>-</w:t>
    </w:r>
    <w:r w:rsidRPr="005E5F49">
      <w:rPr>
        <w:b/>
        <w:i/>
        <w:iCs/>
        <w:sz w:val="28"/>
        <w:szCs w:val="28"/>
        <w:u w:val="single"/>
      </w:rPr>
      <w:t>GUANHÃESPREV</w:t>
    </w:r>
    <w:r w:rsidRPr="005E5F49">
      <w:rPr>
        <w:b/>
        <w:i/>
        <w:iCs/>
        <w:sz w:val="28"/>
        <w:szCs w:val="28"/>
        <w:u w:val="single"/>
      </w:rPr>
      <w:br/>
      <w:t>CNPJ: 05.518.895/0001-74</w:t>
    </w:r>
    <w:bookmarkEnd w:id="2"/>
    <w:r w:rsidR="00D55BED">
      <w:rPr>
        <w:noProof/>
      </w:rPr>
      <w:pict w14:anchorId="62FB14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2051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1FD80C" w14:textId="3CE92D64" w:rsidR="00AE38A1" w:rsidRDefault="00D55BED">
    <w:pPr>
      <w:pStyle w:val="Cabealho"/>
    </w:pPr>
    <w:r>
      <w:rPr>
        <w:noProof/>
      </w:rPr>
      <w:pict w14:anchorId="587F1A6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2049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CB2869"/>
    <w:multiLevelType w:val="hybridMultilevel"/>
    <w:tmpl w:val="03A8BC7A"/>
    <w:lvl w:ilvl="0" w:tplc="1E727F5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B3B"/>
    <w:rsid w:val="00012EA2"/>
    <w:rsid w:val="00030786"/>
    <w:rsid w:val="000D0CC5"/>
    <w:rsid w:val="000D53E0"/>
    <w:rsid w:val="00187E73"/>
    <w:rsid w:val="001E0DDD"/>
    <w:rsid w:val="00202926"/>
    <w:rsid w:val="00330475"/>
    <w:rsid w:val="003F6D65"/>
    <w:rsid w:val="0040174A"/>
    <w:rsid w:val="004219A3"/>
    <w:rsid w:val="00441214"/>
    <w:rsid w:val="004B4FFC"/>
    <w:rsid w:val="005032DB"/>
    <w:rsid w:val="00572B3B"/>
    <w:rsid w:val="00574D1D"/>
    <w:rsid w:val="005E5F49"/>
    <w:rsid w:val="00646FDF"/>
    <w:rsid w:val="0067285F"/>
    <w:rsid w:val="00683875"/>
    <w:rsid w:val="006B11D8"/>
    <w:rsid w:val="007E24A2"/>
    <w:rsid w:val="007E76D8"/>
    <w:rsid w:val="008455F6"/>
    <w:rsid w:val="008766CE"/>
    <w:rsid w:val="008F28B9"/>
    <w:rsid w:val="00926858"/>
    <w:rsid w:val="00954710"/>
    <w:rsid w:val="009832CF"/>
    <w:rsid w:val="00A03D72"/>
    <w:rsid w:val="00A32659"/>
    <w:rsid w:val="00A5685A"/>
    <w:rsid w:val="00A77661"/>
    <w:rsid w:val="00A8590F"/>
    <w:rsid w:val="00A8708E"/>
    <w:rsid w:val="00AC2144"/>
    <w:rsid w:val="00AE3618"/>
    <w:rsid w:val="00AE38A1"/>
    <w:rsid w:val="00B132A1"/>
    <w:rsid w:val="00B73883"/>
    <w:rsid w:val="00BF77EC"/>
    <w:rsid w:val="00C72B68"/>
    <w:rsid w:val="00CA0EF3"/>
    <w:rsid w:val="00D25F84"/>
    <w:rsid w:val="00D55BED"/>
    <w:rsid w:val="00D834D3"/>
    <w:rsid w:val="00DC3EFC"/>
    <w:rsid w:val="00E217F9"/>
    <w:rsid w:val="00E3768E"/>
    <w:rsid w:val="00EB508A"/>
    <w:rsid w:val="00F35D67"/>
    <w:rsid w:val="00F52D93"/>
    <w:rsid w:val="00F65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50E63C8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9832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  <w:style w:type="character" w:customStyle="1" w:styleId="UnresolvedMention">
    <w:name w:val="Unresolved Mention"/>
    <w:basedOn w:val="Fontepargpadro"/>
    <w:uiPriority w:val="99"/>
    <w:semiHidden/>
    <w:unhideWhenUsed/>
    <w:rsid w:val="006B11D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D0CC5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paragraph" w:styleId="SemEspaamento">
    <w:name w:val="No Spacing"/>
    <w:uiPriority w:val="1"/>
    <w:qFormat/>
    <w:rsid w:val="00DC3EFC"/>
    <w:pPr>
      <w:spacing w:after="0" w:line="240" w:lineRule="auto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rpps@guanhaesprev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A36981-9E49-4E6F-8C2B-425076B92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1439</Words>
  <Characters>7775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recepçao</cp:lastModifiedBy>
  <cp:revision>2</cp:revision>
  <cp:lastPrinted>2022-10-27T17:16:00Z</cp:lastPrinted>
  <dcterms:created xsi:type="dcterms:W3CDTF">2025-12-18T14:31:00Z</dcterms:created>
  <dcterms:modified xsi:type="dcterms:W3CDTF">2025-12-18T14:31:00Z</dcterms:modified>
</cp:coreProperties>
</file>